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CA" w:rsidRPr="00E03ACA" w:rsidRDefault="00E03ACA" w:rsidP="00E0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> (DIRECÇÃO-GERAL DA ADMINISTRAÇÃO DA JUSTIÇA</w:t>
      </w:r>
    </w:p>
    <w:p w:rsidR="00E03ACA" w:rsidRPr="00E03ACA" w:rsidRDefault="00E03ACA" w:rsidP="00E0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>PROJECTO DE MOVIMENTO DOS OFICIAIS DE JUSTIÇA</w:t>
      </w:r>
    </w:p>
    <w:p w:rsidR="00E03ACA" w:rsidRPr="00E03ACA" w:rsidRDefault="00E03ACA" w:rsidP="00E03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03ACA" w:rsidRPr="00E03ACA" w:rsidRDefault="00E03ACA" w:rsidP="00E03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>EXMO SENHOR DIRECTOR-GERAL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03ACA" w:rsidRPr="00E03ACA" w:rsidRDefault="00E03ACA" w:rsidP="00E0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 xml:space="preserve">________________________________ </w:t>
      </w: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(nome), ___________________ (escrivão de direito/técnico de justiça principal, adjunto, auxiliar) a exercer funções no _______________________do Núcleo de _____________ do Tribunal Judicial da Comarca de __________________, tendo tido conhecimento do Oficio-circular n.º 9/2021, que publicitou 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Projecto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de Movimento dos Oficiais de Justiça de 20</w:t>
      </w:r>
      <w:r>
        <w:rPr>
          <w:rFonts w:ascii="Book Antiqua" w:eastAsia="Times New Roman" w:hAnsi="Book Antiqua" w:cs="Times New Roman"/>
          <w:color w:val="000000"/>
          <w:lang w:eastAsia="pt-PT"/>
        </w:rPr>
        <w:t>21</w:t>
      </w: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, vem, ao abrigo do disposto nos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art.s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121º e 122º do CPA, 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03ACA" w:rsidRPr="00E03ACA" w:rsidRDefault="00E03ACA" w:rsidP="00E0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Book Antiqua" w:eastAsia="Times New Roman" w:hAnsi="Book Antiqua" w:cs="Times New Roman"/>
          <w:b/>
          <w:bCs/>
          <w:smallCaps/>
          <w:color w:val="000000"/>
          <w:lang w:eastAsia="pt-PT"/>
        </w:rPr>
        <w:t>PRONUNCIAR-SE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03ACA" w:rsidRPr="00E03ACA" w:rsidRDefault="00E03ACA" w:rsidP="00E0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>Nos termos e com os seguintes fundamentos: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>O Expoente é ________ (escrivão de direito/técnico de justiça principal, adjunto, auxiliar) e está colocado no Núcleo de _______________ do Tribunal Judicial da Comarca de _____________.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>O Expoente tem conhecimento que o lugar de ________________ não está preenchido ou não está provido definitivamente.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C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Como é do conhecimento da DGAJ, o curso do Expoente tem a validade de 3 anos, pelo que caducou a sua validade no mês de Maio de 2020, nos termos do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art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>. 35º do EFJ, sem que tenham sido realizadas promoções no ano de 2019,</w:t>
      </w:r>
      <w:proofErr w:type="gram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2020  e</w:t>
      </w:r>
      <w:proofErr w:type="gram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2021 </w:t>
      </w:r>
      <w:r w:rsidRPr="00E03ACA">
        <w:rPr>
          <w:rFonts w:ascii="Book Antiqua" w:eastAsia="Times New Roman" w:hAnsi="Book Antiqua" w:cs="Times New Roman"/>
          <w:color w:val="C00000"/>
          <w:lang w:eastAsia="pt-PT"/>
        </w:rPr>
        <w:t>(só para escrivães de direito/técnicos de justiça principais).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Sendo que, não há nenhum impedimento legal para não serem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efectuadas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promoções no movimento do ano de 2021.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>Com efeito, a promoção é o preenchimento de lugar de acesso para categoria superior àquela de que o Requerente é titular.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O Requerente preenche os requisitos gerais de acesso na carreira (promoção), de acordo com o disposto no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art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. 19º </w:t>
      </w:r>
      <w:proofErr w:type="spellStart"/>
      <w:proofErr w:type="gram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n.sº</w:t>
      </w:r>
      <w:proofErr w:type="spellEnd"/>
      <w:proofErr w:type="gram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4 e 5 e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art.s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9º a 12º do EFJ.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Contudo, o lugar de ________________________ do Núcleo de ____________________não consta preenchido no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projecto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de movimento de 2021, apesar do Expoente se ter candidatado.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lastRenderedPageBreak/>
        <w:t xml:space="preserve">O preenchimento dos lugares dos Oficiais de Justiça é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efectuado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, em regra, pelo “movimento” previsto no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art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>. 18º do EFJ que dispõe</w:t>
      </w:r>
    </w:p>
    <w:p w:rsidR="00E03ACA" w:rsidRPr="00E03ACA" w:rsidRDefault="00E03ACA" w:rsidP="00E03ACA">
      <w:pPr>
        <w:numPr>
          <w:ilvl w:val="0"/>
          <w:numId w:val="9"/>
        </w:numPr>
        <w:spacing w:after="0" w:line="240" w:lineRule="auto"/>
        <w:ind w:left="2203"/>
        <w:jc w:val="both"/>
        <w:textAlignment w:val="baseline"/>
        <w:rPr>
          <w:rFonts w:ascii="Book Antiqua" w:eastAsia="Times New Roman" w:hAnsi="Book Antiqua" w:cs="Times New Roman"/>
          <w:color w:val="000000"/>
          <w:sz w:val="18"/>
          <w:szCs w:val="18"/>
          <w:lang w:eastAsia="pt-PT"/>
        </w:rPr>
      </w:pPr>
      <w:r w:rsidRPr="00E03ACA">
        <w:rPr>
          <w:rFonts w:ascii="Book Antiqua" w:eastAsia="Times New Roman" w:hAnsi="Book Antiqua" w:cs="Times New Roman"/>
          <w:i/>
          <w:iCs/>
          <w:color w:val="000000"/>
          <w:shd w:val="clear" w:color="auto" w:fill="FFFFFF"/>
          <w:lang w:eastAsia="pt-PT"/>
        </w:rPr>
        <w:t>A Direção-Geral da Administração da Justiça realiza movimentos dos oficiais de justiça para o preenchimento de lugares que se encontrem vagos ou que venham a vagar no decurso do movimento.</w:t>
      </w:r>
    </w:p>
    <w:p w:rsidR="00E03ACA" w:rsidRPr="00E03ACA" w:rsidRDefault="00E03ACA" w:rsidP="00E03ACA">
      <w:pPr>
        <w:numPr>
          <w:ilvl w:val="0"/>
          <w:numId w:val="9"/>
        </w:numPr>
        <w:spacing w:after="0" w:line="240" w:lineRule="auto"/>
        <w:ind w:left="2203"/>
        <w:jc w:val="both"/>
        <w:textAlignment w:val="baseline"/>
        <w:rPr>
          <w:rFonts w:ascii="Book Antiqua" w:eastAsia="Times New Roman" w:hAnsi="Book Antiqua" w:cs="Times New Roman"/>
          <w:color w:val="000000"/>
          <w:sz w:val="18"/>
          <w:szCs w:val="18"/>
          <w:lang w:eastAsia="pt-PT"/>
        </w:rPr>
      </w:pPr>
      <w:r w:rsidRPr="00E03ACA">
        <w:rPr>
          <w:rFonts w:ascii="Book Antiqua" w:eastAsia="Times New Roman" w:hAnsi="Book Antiqua" w:cs="Times New Roman"/>
          <w:i/>
          <w:iCs/>
          <w:color w:val="000000"/>
          <w:shd w:val="clear" w:color="auto" w:fill="FFFFFF"/>
          <w:lang w:eastAsia="pt-PT"/>
        </w:rPr>
        <w:t>Os movimentos ordinários dos oficiais de justiça são efetuados anualmente, no mês de junho, publicitando-se os lugares previsivelmente a preencher.</w:t>
      </w:r>
    </w:p>
    <w:p w:rsidR="00E03ACA" w:rsidRPr="00E03ACA" w:rsidRDefault="00E03ACA" w:rsidP="00E03ACA">
      <w:pPr>
        <w:numPr>
          <w:ilvl w:val="0"/>
          <w:numId w:val="9"/>
        </w:numPr>
        <w:spacing w:after="0" w:line="240" w:lineRule="auto"/>
        <w:ind w:left="2203"/>
        <w:jc w:val="both"/>
        <w:textAlignment w:val="baseline"/>
        <w:rPr>
          <w:rFonts w:ascii="Book Antiqua" w:eastAsia="Times New Roman" w:hAnsi="Book Antiqua" w:cs="Times New Roman"/>
          <w:color w:val="000000"/>
          <w:sz w:val="18"/>
          <w:szCs w:val="18"/>
          <w:lang w:eastAsia="pt-PT"/>
        </w:rPr>
      </w:pPr>
      <w:r w:rsidRPr="00E03ACA">
        <w:rPr>
          <w:rFonts w:ascii="Book Antiqua" w:eastAsia="Times New Roman" w:hAnsi="Book Antiqua" w:cs="Times New Roman"/>
          <w:i/>
          <w:iCs/>
          <w:color w:val="000000"/>
          <w:shd w:val="clear" w:color="auto" w:fill="FFFFFF"/>
          <w:lang w:eastAsia="pt-PT"/>
        </w:rPr>
        <w:t>Quando se justificar, podem ser realizados movimentos extraordinários.</w:t>
      </w:r>
    </w:p>
    <w:p w:rsidR="00E03ACA" w:rsidRPr="00E03ACA" w:rsidRDefault="00E03ACA" w:rsidP="00E03ACA">
      <w:pPr>
        <w:numPr>
          <w:ilvl w:val="0"/>
          <w:numId w:val="9"/>
        </w:numPr>
        <w:spacing w:after="0" w:line="240" w:lineRule="auto"/>
        <w:ind w:left="2203"/>
        <w:jc w:val="both"/>
        <w:textAlignment w:val="baseline"/>
        <w:rPr>
          <w:rFonts w:ascii="Book Antiqua" w:eastAsia="Times New Roman" w:hAnsi="Book Antiqua" w:cs="Times New Roman"/>
          <w:color w:val="000000"/>
          <w:sz w:val="18"/>
          <w:szCs w:val="18"/>
          <w:lang w:eastAsia="pt-PT"/>
        </w:rPr>
      </w:pPr>
      <w:r w:rsidRPr="00E03ACA">
        <w:rPr>
          <w:rFonts w:ascii="Book Antiqua" w:eastAsia="Times New Roman" w:hAnsi="Book Antiqua" w:cs="Times New Roman"/>
          <w:i/>
          <w:iCs/>
          <w:color w:val="000000"/>
          <w:shd w:val="clear" w:color="auto" w:fill="FFFFFF"/>
          <w:lang w:eastAsia="pt-PT"/>
        </w:rPr>
        <w:t>A Direção-Geral da Administração da Justiça publicita a realização dos movimentos extraordinários por aviso publicado na 2.ª série do Diário da República.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O preenchimento das vagas obedece à seguinte ordenação: integração (supranumerários e disponibilidade), transferências e têm de ser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efectuadas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as promoções.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A DGAJ ao não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efectuar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promoções está a violar de forma grosseira as regras do “movimento”, previstas no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art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>. 18º do EFJ, uma vez que há lugares vagos, que não foram preenchidos através da via da transferência que têm que ser preenchidas por oficiais de justiça de categoria inferior – via promoção.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2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O não preenchimento do lugar que o Requerente se candidatou e está vago, contraria os Princípios da Imparcialidade, Isenção, Confiança, inerentes a toda a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actividade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administrativa;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3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projecto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de movimento, ora publicitado, viola Princípios da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Objectividade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>, Imparcialidade, Confiança e Isenção ao permitir que lugares vagos não fossem preenchidos através da promoção.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4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Conforme foi decidido em 9.10.2015, pelo Tribunal Central Administrativo Norte, no Processo n.º 166/09.4BECBR </w:t>
      </w:r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 xml:space="preserve">“O princípio da imparcialidade exige que a Administração se oriente, na sua atuação, por critérios de isenção e de equidistância em relação a todos os interesses em jogo, não prejudicando nem beneficiando ninguém por motivos estranhos à lei, ou alheios à satisfação do interesse público, ou seja, sem favoritismos, amiguismos ou privilégios. </w:t>
      </w:r>
      <w:r w:rsidRPr="00E03ACA">
        <w:rPr>
          <w:rFonts w:ascii="Book Antiqua" w:eastAsia="Times New Roman" w:hAnsi="Book Antiqua" w:cs="Times New Roman"/>
          <w:i/>
          <w:iCs/>
          <w:color w:val="000000"/>
          <w:u w:val="single"/>
          <w:lang w:eastAsia="pt-PT"/>
        </w:rPr>
        <w:t xml:space="preserve">É jurisprudência reiterada que nos procedimentos </w:t>
      </w:r>
      <w:proofErr w:type="spellStart"/>
      <w:r w:rsidRPr="00E03ACA">
        <w:rPr>
          <w:rFonts w:ascii="Book Antiqua" w:eastAsia="Times New Roman" w:hAnsi="Book Antiqua" w:cs="Times New Roman"/>
          <w:i/>
          <w:iCs/>
          <w:color w:val="000000"/>
          <w:u w:val="single"/>
          <w:lang w:eastAsia="pt-PT"/>
        </w:rPr>
        <w:t>concursais</w:t>
      </w:r>
      <w:proofErr w:type="spellEnd"/>
      <w:r w:rsidRPr="00E03ACA">
        <w:rPr>
          <w:rFonts w:ascii="Book Antiqua" w:eastAsia="Times New Roman" w:hAnsi="Book Antiqua" w:cs="Times New Roman"/>
          <w:i/>
          <w:iCs/>
          <w:color w:val="000000"/>
          <w:u w:val="single"/>
          <w:lang w:eastAsia="pt-PT"/>
        </w:rPr>
        <w:t>, para que se considere violado o princípio da imparcialidade basta que se dê como verificado o risco de não ser garantida uma atuação isenta, objetiva e neutral, para que o ato seja anulado</w:t>
      </w:r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 xml:space="preserve">. (…). Neste sentido, o STA, em acórdão de 18.03.2010, processo n.º 0781/09, a propósito do princípio da imparcialidade, considera que o respeito por uma atuação isenta «não é consentâneo com procedimentos que, objetivamente, possibilitem a manipulação ou o afeiçoamento pessoal dos resultados a um determinado concurso, bastando, a esse respeito, e para os efeitos a que nos reportamos, uma mera lesão potencial… não é necessária uma conduta efetiva de violação daqueles princípios ou de atuação favorecedora de algum dos candidatos, bastando o risco potencial de manipulação dos resultados do concurso, para que se considere verificada a violação dos princípios referidos». Na </w:t>
      </w:r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lastRenderedPageBreak/>
        <w:t xml:space="preserve">mesma linha de orientação, vejam-se, ainda </w:t>
      </w:r>
      <w:proofErr w:type="spellStart"/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>Acs</w:t>
      </w:r>
      <w:proofErr w:type="spellEnd"/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 xml:space="preserve">. do STA, de 04/03/2009, Rec.504/08; de 22/02/2006, </w:t>
      </w:r>
      <w:proofErr w:type="spellStart"/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>Rec</w:t>
      </w:r>
      <w:proofErr w:type="spellEnd"/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 xml:space="preserve">. 1388/03 e de 14/04/2005, </w:t>
      </w:r>
      <w:proofErr w:type="spellStart"/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>Rec</w:t>
      </w:r>
      <w:proofErr w:type="spellEnd"/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>. 429/03”</w:t>
      </w:r>
      <w:r w:rsidRPr="00E03ACA">
        <w:rPr>
          <w:rFonts w:ascii="Book Antiqua" w:eastAsia="Times New Roman" w:hAnsi="Book Antiqua" w:cs="Times New Roman"/>
          <w:color w:val="000000"/>
          <w:lang w:eastAsia="pt-PT"/>
        </w:rPr>
        <w:t>. 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5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>A DGAJ não pode alterar as regras previamente no EFJ para o concurso “movimento”, decidindo não preencher um lugar vago via promoção, sem colocar em causa do Principio da Imparcialidade.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6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>A decisão da DGAJ consubstanciada em não preenchimento do lugar de __________________ do Núcleo de ___________________, como referido pelo acórdão do Tribunal Central Administrativo Sul, de 13.11.2008, no processo n.º 3707/99 “</w:t>
      </w:r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 xml:space="preserve">põe em causa a isenção e imparcialidade por que se deve pautar o recrutamento de pessoal para a Função Pública. Ao Júri do concurso – e à semelhança da mulher de César – </w:t>
      </w:r>
      <w:r w:rsidRPr="00E03ACA">
        <w:rPr>
          <w:rFonts w:ascii="Book Antiqua" w:eastAsia="Times New Roman" w:hAnsi="Book Antiqua" w:cs="Times New Roman"/>
          <w:i/>
          <w:iCs/>
          <w:color w:val="000000"/>
          <w:u w:val="single"/>
          <w:lang w:eastAsia="pt-PT"/>
        </w:rPr>
        <w:t>não basta o ser imparcial e isento, há que parecê-lo</w:t>
      </w:r>
      <w:r w:rsidRPr="00E03ACA">
        <w:rPr>
          <w:rFonts w:ascii="Book Antiqua" w:eastAsia="Times New Roman" w:hAnsi="Book Antiqua" w:cs="Times New Roman"/>
          <w:color w:val="000000"/>
          <w:lang w:eastAsia="pt-PT"/>
        </w:rPr>
        <w:t>”. 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7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A não colocação do Expoente no lugar de ________________________ do Núcleo de _________________ viola os Princípios da Isenção, da Transparência, da Confiança e da Imparcialidade que têm de pautar a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actividade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administrativa, mormente, os princípios da </w:t>
      </w:r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>Legalidade, Igualdade e Imparcialidade</w:t>
      </w: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, consagrados no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art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. 266º, n.ºs 1 e 2 da CRP e </w:t>
      </w:r>
      <w:proofErr w:type="spellStart"/>
      <w:proofErr w:type="gram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art.s</w:t>
      </w:r>
      <w:proofErr w:type="spellEnd"/>
      <w:proofErr w:type="gram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3º, 6º e 9º do CPA. 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8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Como é referido no acórdão </w:t>
      </w:r>
      <w:proofErr w:type="gram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supra citado</w:t>
      </w:r>
      <w:proofErr w:type="gram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, basta estarmos perante uma mera lesão potencial, não é necessária uma conduta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efectiva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de violação daqueles princípios ou de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actuação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favorecedora de algum dos candidatos.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19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 xml:space="preserve">In </w:t>
      </w:r>
      <w:proofErr w:type="spellStart"/>
      <w:r w:rsidRPr="00E03ACA">
        <w:rPr>
          <w:rFonts w:ascii="Book Antiqua" w:eastAsia="Times New Roman" w:hAnsi="Book Antiqua" w:cs="Times New Roman"/>
          <w:i/>
          <w:iCs/>
          <w:color w:val="000000"/>
          <w:lang w:eastAsia="pt-PT"/>
        </w:rPr>
        <w:t>casu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>, basta o risco potencial de manipulação dos resultados do movimento, para que se considere verificada a violação dos Princípios da Transparência, Imparcialidade, Boa-Fé, Igualdade.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20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C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Para além dos danos que está a causar ao Requerente atendendo que o seu curso caducou no mês de </w:t>
      </w:r>
      <w:proofErr w:type="gram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Maio</w:t>
      </w:r>
      <w:proofErr w:type="gram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de 2020</w:t>
      </w:r>
      <w:bookmarkStart w:id="0" w:name="_GoBack"/>
      <w:bookmarkEnd w:id="0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. </w:t>
      </w:r>
      <w:r w:rsidRPr="00E03ACA">
        <w:rPr>
          <w:rFonts w:ascii="Book Antiqua" w:eastAsia="Times New Roman" w:hAnsi="Book Antiqua" w:cs="Times New Roman"/>
          <w:color w:val="C00000"/>
          <w:lang w:eastAsia="pt-PT"/>
        </w:rPr>
        <w:t>(só para escrivães de direito/técnicos de justiça principais).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E03ACA" w:rsidRPr="00E03ACA" w:rsidRDefault="00E03ACA" w:rsidP="00E03ACA">
      <w:pPr>
        <w:numPr>
          <w:ilvl w:val="0"/>
          <w:numId w:val="21"/>
        </w:numPr>
        <w:spacing w:after="102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lang w:eastAsia="pt-PT"/>
        </w:rPr>
      </w:pPr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É jurisprudência pacífica para que se considere violado o Princípio da Imparcialidade nos procedimentos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concursais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, basta que se dê como verificado o risco de não ser garantida uma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actuação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isenta,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objectiva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e neutral, para que o </w:t>
      </w:r>
      <w:proofErr w:type="spellStart"/>
      <w:r w:rsidRPr="00E03ACA">
        <w:rPr>
          <w:rFonts w:ascii="Book Antiqua" w:eastAsia="Times New Roman" w:hAnsi="Book Antiqua" w:cs="Times New Roman"/>
          <w:color w:val="000000"/>
          <w:lang w:eastAsia="pt-PT"/>
        </w:rPr>
        <w:t>acto</w:t>
      </w:r>
      <w:proofErr w:type="spellEnd"/>
      <w:r w:rsidRPr="00E03ACA">
        <w:rPr>
          <w:rFonts w:ascii="Book Antiqua" w:eastAsia="Times New Roman" w:hAnsi="Book Antiqua" w:cs="Times New Roman"/>
          <w:color w:val="000000"/>
          <w:lang w:eastAsia="pt-PT"/>
        </w:rPr>
        <w:t xml:space="preserve"> seja anulado.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03ACA" w:rsidRPr="00E03ACA" w:rsidRDefault="00E03ACA" w:rsidP="00E03AC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 xml:space="preserve">Assim, vem requerer a V.Ex.ª se digne alterar o </w:t>
      </w:r>
      <w:proofErr w:type="spellStart"/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>projecto</w:t>
      </w:r>
      <w:proofErr w:type="spellEnd"/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 xml:space="preserve"> de movimento, preenchendo via promoção o lugar vago existente de __________________</w:t>
      </w:r>
      <w:proofErr w:type="gramStart"/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>_  no</w:t>
      </w:r>
      <w:proofErr w:type="gramEnd"/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 xml:space="preserve"> </w:t>
      </w:r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lastRenderedPageBreak/>
        <w:t>Núcleo de _________________ do Tribunal Judicial da Comarca de ________.</w:t>
      </w:r>
    </w:p>
    <w:p w:rsidR="00E03ACA" w:rsidRPr="00E03ACA" w:rsidRDefault="00E03ACA" w:rsidP="00E0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03ACA" w:rsidRPr="00E03ACA" w:rsidRDefault="00E03ACA" w:rsidP="00E03AC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3ACA">
        <w:rPr>
          <w:rFonts w:ascii="Book Antiqua" w:eastAsia="Times New Roman" w:hAnsi="Book Antiqua" w:cs="Times New Roman"/>
          <w:b/>
          <w:bCs/>
          <w:color w:val="000000"/>
          <w:lang w:eastAsia="pt-PT"/>
        </w:rPr>
        <w:t>ED</w:t>
      </w:r>
    </w:p>
    <w:p w:rsidR="00157FEB" w:rsidRDefault="00157FEB"/>
    <w:sectPr w:rsidR="00157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C7"/>
    <w:multiLevelType w:val="multilevel"/>
    <w:tmpl w:val="89865C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5DEE"/>
    <w:multiLevelType w:val="multilevel"/>
    <w:tmpl w:val="87BCD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A6F46"/>
    <w:multiLevelType w:val="multilevel"/>
    <w:tmpl w:val="1F2C28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B3F68"/>
    <w:multiLevelType w:val="multilevel"/>
    <w:tmpl w:val="76702D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B006D"/>
    <w:multiLevelType w:val="multilevel"/>
    <w:tmpl w:val="E7960E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F3098"/>
    <w:multiLevelType w:val="multilevel"/>
    <w:tmpl w:val="FB08FF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07A91"/>
    <w:multiLevelType w:val="multilevel"/>
    <w:tmpl w:val="B80885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94D97"/>
    <w:multiLevelType w:val="multilevel"/>
    <w:tmpl w:val="CF707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E3C8A"/>
    <w:multiLevelType w:val="multilevel"/>
    <w:tmpl w:val="55FA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7509C"/>
    <w:multiLevelType w:val="multilevel"/>
    <w:tmpl w:val="7F32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431DC"/>
    <w:multiLevelType w:val="multilevel"/>
    <w:tmpl w:val="1EC48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41AE"/>
    <w:multiLevelType w:val="multilevel"/>
    <w:tmpl w:val="C876F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82DD3"/>
    <w:multiLevelType w:val="multilevel"/>
    <w:tmpl w:val="5660F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77D25"/>
    <w:multiLevelType w:val="multilevel"/>
    <w:tmpl w:val="B3E2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10977"/>
    <w:multiLevelType w:val="multilevel"/>
    <w:tmpl w:val="98940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C704F"/>
    <w:multiLevelType w:val="multilevel"/>
    <w:tmpl w:val="9F10D8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A962C4"/>
    <w:multiLevelType w:val="multilevel"/>
    <w:tmpl w:val="82CC3F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4018D"/>
    <w:multiLevelType w:val="multilevel"/>
    <w:tmpl w:val="48D43A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7C3D18"/>
    <w:multiLevelType w:val="multilevel"/>
    <w:tmpl w:val="279AB1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5670C"/>
    <w:multiLevelType w:val="multilevel"/>
    <w:tmpl w:val="2E62E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B3BDC"/>
    <w:multiLevelType w:val="multilevel"/>
    <w:tmpl w:val="6A9A21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CA"/>
    <w:rsid w:val="00157FEB"/>
    <w:rsid w:val="00E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494E"/>
  <w15:chartTrackingRefBased/>
  <w15:docId w15:val="{180A9F46-B814-4D41-92EC-1E3C6808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Lopes</dc:creator>
  <cp:keywords/>
  <dc:description/>
  <cp:lastModifiedBy>Alexandra Lopes</cp:lastModifiedBy>
  <cp:revision>2</cp:revision>
  <dcterms:created xsi:type="dcterms:W3CDTF">2021-07-19T11:31:00Z</dcterms:created>
  <dcterms:modified xsi:type="dcterms:W3CDTF">2021-07-19T11:33:00Z</dcterms:modified>
</cp:coreProperties>
</file>